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440"/>
        <w:gridCol w:w="997"/>
        <w:gridCol w:w="1701"/>
        <w:gridCol w:w="1843"/>
        <w:gridCol w:w="1843"/>
        <w:gridCol w:w="1304"/>
      </w:tblGrid>
      <w:tr w:rsidR="00B407FD" w:rsidRPr="0099692E" w:rsidTr="00AB0BC0">
        <w:trPr>
          <w:trHeight w:val="5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</w:pPr>
            <w:r w:rsidRPr="00AB0BC0"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  <w:t>S/N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0BC0"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  <w:t>Potential Supervisor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</w:pPr>
          </w:p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</w:pPr>
            <w:r w:rsidRPr="00AB0BC0"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  <w:t>Rank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0BC0"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  <w:t>Research Expertise and Interests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0B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Programme Approved to Supervise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</w:pPr>
            <w:r w:rsidRPr="00AB0BC0"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  <w:t xml:space="preserve">Ten Key Publications </w:t>
            </w:r>
          </w:p>
          <w:p w:rsidR="00B407FD" w:rsidRPr="00AB0BC0" w:rsidRDefault="00B407FD" w:rsidP="0067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B0BC0">
              <w:rPr>
                <w:rFonts w:ascii="Bold" w:eastAsia="Times New Roman" w:hAnsi="Bold" w:cs="Times New Roman"/>
                <w:b/>
                <w:bCs/>
                <w:color w:val="404040"/>
                <w:sz w:val="18"/>
                <w:szCs w:val="18"/>
              </w:rPr>
              <w:t>in Specialty Area(s)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D" w:rsidRDefault="00B407FD" w:rsidP="0067315F">
            <w:pPr>
              <w:spacing w:after="0" w:line="240" w:lineRule="auto"/>
              <w:jc w:val="center"/>
              <w:rPr>
                <w:rFonts w:ascii="Bold" w:eastAsia="Times New Roman" w:hAnsi="Bold" w:cs="Times New Roman"/>
                <w:b/>
                <w:bCs/>
                <w:color w:val="404040"/>
                <w:sz w:val="24"/>
                <w:szCs w:val="36"/>
              </w:rPr>
            </w:pPr>
            <w:r w:rsidRPr="0099692E">
              <w:rPr>
                <w:rFonts w:ascii="Bold" w:eastAsia="Times New Roman" w:hAnsi="Bold" w:cs="Times New Roman"/>
                <w:b/>
                <w:bCs/>
                <w:color w:val="404040"/>
                <w:sz w:val="24"/>
                <w:szCs w:val="36"/>
              </w:rPr>
              <w:t>E-mail</w:t>
            </w:r>
          </w:p>
          <w:p w:rsidR="00B407FD" w:rsidRPr="0099692E" w:rsidRDefault="00B407FD" w:rsidP="0067315F">
            <w:pPr>
              <w:spacing w:after="0" w:line="240" w:lineRule="auto"/>
              <w:jc w:val="center"/>
              <w:rPr>
                <w:rFonts w:ascii="Bold" w:eastAsia="Times New Roman" w:hAnsi="Bold" w:cs="Times New Roman"/>
                <w:b/>
                <w:bCs/>
                <w:color w:val="404040"/>
                <w:sz w:val="24"/>
                <w:szCs w:val="36"/>
              </w:rPr>
            </w:pPr>
            <w:r>
              <w:rPr>
                <w:rFonts w:ascii="Bold" w:eastAsia="Times New Roman" w:hAnsi="Bold" w:cs="Times New Roman"/>
                <w:b/>
                <w:bCs/>
                <w:color w:val="404040"/>
                <w:sz w:val="24"/>
                <w:szCs w:val="36"/>
              </w:rPr>
              <w:t>(UNIZIK only)</w:t>
            </w:r>
          </w:p>
        </w:tc>
      </w:tr>
      <w:tr w:rsidR="00B407FD" w:rsidTr="00AB0BC0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D" w:rsidRPr="00AB0BC0" w:rsidRDefault="00B407FD" w:rsidP="0067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BC0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D" w:rsidRPr="00AB0BC0" w:rsidRDefault="00B407FD" w:rsidP="0067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BC0">
              <w:rPr>
                <w:rFonts w:ascii="Times New Roman" w:eastAsia="Times New Roman" w:hAnsi="Times New Roman" w:cs="Times New Roman"/>
                <w:sz w:val="18"/>
                <w:szCs w:val="18"/>
              </w:rPr>
              <w:t>IGBOKWE PHILOMENA KANWULIA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D" w:rsidRPr="00AB0BC0" w:rsidRDefault="00B407FD" w:rsidP="0067315F">
            <w:pPr>
              <w:spacing w:after="0" w:line="240" w:lineRule="auto"/>
              <w:rPr>
                <w:rFonts w:ascii="THSarabunPSK" w:eastAsia="Times New Roman" w:hAnsi="THSarabunPSK" w:cs="Times New Roman"/>
                <w:color w:val="404040"/>
                <w:sz w:val="18"/>
                <w:szCs w:val="18"/>
              </w:rPr>
            </w:pPr>
            <w:r w:rsidRPr="00AB0BC0">
              <w:rPr>
                <w:rFonts w:ascii="THSarabunPSK" w:eastAsia="Times New Roman" w:hAnsi="THSarabunPSK" w:cs="Times New Roman"/>
                <w:color w:val="404040"/>
                <w:sz w:val="18"/>
                <w:szCs w:val="18"/>
              </w:rPr>
              <w:t>PROFESSOR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D" w:rsidRPr="00AB0BC0" w:rsidRDefault="00AB0BC0" w:rsidP="0067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Environmental Chemical Engineering, Separation Processes, Chemical Process Modelling and Simulation, Biomass Energy and raw materials Development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7FD" w:rsidRPr="00AB0BC0" w:rsidRDefault="00B407FD" w:rsidP="0067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0BC0">
              <w:rPr>
                <w:rFonts w:ascii="Times New Roman" w:eastAsia="Times New Roman" w:hAnsi="Times New Roman" w:cs="Times New Roman"/>
                <w:sz w:val="18"/>
                <w:szCs w:val="18"/>
              </w:rPr>
              <w:t>PGD, M.ENG, PhD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C0" w:rsidRPr="00AB0BC0" w:rsidRDefault="00AB0BC0" w:rsidP="00AB0BC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Chukwu M. M., </w:t>
            </w:r>
            <w:r w:rsidRPr="00AB0BC0">
              <w:rPr>
                <w:b/>
                <w:color w:val="000000"/>
                <w:sz w:val="18"/>
                <w:szCs w:val="18"/>
              </w:rPr>
              <w:t>Igbokwe P. K.</w:t>
            </w:r>
            <w:r w:rsidRPr="00AB0BC0">
              <w:rPr>
                <w:color w:val="000000"/>
                <w:sz w:val="18"/>
                <w:szCs w:val="18"/>
              </w:rPr>
              <w:t xml:space="preserve"> and Nwabanne J. T., Modelling Carbon  Sequestration through Post-Combustion Capture using Sawdust Leachate and Monoethanolamine,  International Research Journal of Advanced Engineering and Science, Vol.3 No 3, 27-32,2018;</w:t>
            </w:r>
          </w:p>
          <w:p w:rsidR="00AB0BC0" w:rsidRPr="00AB0BC0" w:rsidRDefault="00AB0BC0" w:rsidP="00AB0BC0">
            <w:pPr>
              <w:pStyle w:val="NormalWeb"/>
              <w:spacing w:before="0" w:beforeAutospacing="0" w:after="0" w:afterAutospacing="0"/>
              <w:ind w:left="928"/>
              <w:jc w:val="both"/>
              <w:rPr>
                <w:color w:val="000000"/>
                <w:sz w:val="18"/>
                <w:szCs w:val="18"/>
              </w:rPr>
            </w:pPr>
          </w:p>
          <w:p w:rsidR="00AB0BC0" w:rsidRPr="00AB0BC0" w:rsidRDefault="00AB0BC0" w:rsidP="00AB0BC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Nnabundo N. Musei, </w:t>
            </w:r>
            <w:r w:rsidRPr="00AB0BC0">
              <w:rPr>
                <w:b/>
                <w:color w:val="000000"/>
                <w:sz w:val="18"/>
                <w:szCs w:val="18"/>
              </w:rPr>
              <w:t>Igbokwe Philomena</w:t>
            </w:r>
            <w:r w:rsidRPr="00AB0BC0">
              <w:rPr>
                <w:color w:val="000000"/>
                <w:sz w:val="18"/>
                <w:szCs w:val="18"/>
              </w:rPr>
              <w:t xml:space="preserve">  and Chijioke E. Onu, The Impact of Sodium Sulfate Additive on the Cycle Life of Lead Acid Battery, The Pharmaceutical and Chemical Journal, vol. 6 No. 6, p.13-20,2019;</w:t>
            </w:r>
          </w:p>
          <w:p w:rsidR="00AB0BC0" w:rsidRPr="00AB0BC0" w:rsidRDefault="00AB0BC0" w:rsidP="00AB0BC0">
            <w:pPr>
              <w:pStyle w:val="NormalWeb"/>
              <w:spacing w:before="0" w:beforeAutospacing="0" w:after="0" w:afterAutospacing="0"/>
              <w:ind w:left="928"/>
              <w:jc w:val="both"/>
              <w:rPr>
                <w:color w:val="000000"/>
                <w:sz w:val="18"/>
                <w:szCs w:val="18"/>
              </w:rPr>
            </w:pPr>
          </w:p>
          <w:p w:rsidR="00AB0BC0" w:rsidRPr="00AB0BC0" w:rsidRDefault="00AB0BC0" w:rsidP="00AB0BC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Ikenna C. Nwokedi and </w:t>
            </w:r>
            <w:r w:rsidRPr="00AB0BC0">
              <w:rPr>
                <w:b/>
                <w:color w:val="000000"/>
                <w:sz w:val="18"/>
                <w:szCs w:val="18"/>
              </w:rPr>
              <w:t>Philomena K. Igbokwe</w:t>
            </w:r>
            <w:r w:rsidRPr="00AB0BC0">
              <w:rPr>
                <w:color w:val="000000"/>
                <w:sz w:val="18"/>
                <w:szCs w:val="18"/>
              </w:rPr>
              <w:t>, Chemical Process Absorption Column Design for Carbon Sequestration, Journal of Engineering Research and Reports, Vol. 5, No 1, 1-14, 2019;</w:t>
            </w:r>
          </w:p>
          <w:p w:rsidR="00AB0BC0" w:rsidRPr="00AB0BC0" w:rsidRDefault="00AB0BC0" w:rsidP="00AB0BC0">
            <w:pPr>
              <w:pStyle w:val="NormalWeb"/>
              <w:spacing w:before="0" w:beforeAutospacing="0" w:after="0" w:afterAutospacing="0"/>
              <w:ind w:left="928"/>
              <w:jc w:val="both"/>
              <w:rPr>
                <w:color w:val="000000"/>
                <w:sz w:val="18"/>
                <w:szCs w:val="18"/>
              </w:rPr>
            </w:pPr>
          </w:p>
          <w:p w:rsidR="00AB0BC0" w:rsidRPr="00AB0BC0" w:rsidRDefault="00AB0BC0" w:rsidP="00AB0BC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Nnabundo N. Musei, </w:t>
            </w:r>
            <w:r w:rsidRPr="00AB0BC0">
              <w:rPr>
                <w:b/>
                <w:color w:val="000000"/>
                <w:sz w:val="18"/>
                <w:szCs w:val="18"/>
              </w:rPr>
              <w:t>Philomena I. Igbokwe</w:t>
            </w:r>
            <w:r w:rsidRPr="00AB0BC0">
              <w:rPr>
                <w:color w:val="000000"/>
                <w:sz w:val="18"/>
                <w:szCs w:val="18"/>
              </w:rPr>
              <w:t>, Chijioke E. Onu, The Impact of Sodium Sulfate Additive on the Cycle Life of Lead Acid Battery,</w:t>
            </w:r>
            <w:r w:rsidRPr="00AB0BC0">
              <w:rPr>
                <w:sz w:val="18"/>
                <w:szCs w:val="18"/>
              </w:rPr>
              <w:t xml:space="preserve"> </w:t>
            </w:r>
            <w:r w:rsidRPr="00AB0BC0">
              <w:rPr>
                <w:color w:val="000000"/>
                <w:sz w:val="18"/>
                <w:szCs w:val="18"/>
              </w:rPr>
              <w:t xml:space="preserve">The Pharmaceutical and Chemical Journal, 6(6):13-20, 2019, Available online </w:t>
            </w:r>
            <w:hyperlink r:id="rId5" w:history="1">
              <w:r w:rsidRPr="00AB0BC0">
                <w:rPr>
                  <w:rStyle w:val="Hyperlink"/>
                  <w:sz w:val="18"/>
                  <w:szCs w:val="18"/>
                </w:rPr>
                <w:t>www.tpcj.org</w:t>
              </w:r>
            </w:hyperlink>
            <w:r w:rsidRPr="00AB0BC0">
              <w:rPr>
                <w:color w:val="000000"/>
                <w:sz w:val="18"/>
                <w:szCs w:val="18"/>
              </w:rPr>
              <w:t xml:space="preserve"> ;</w:t>
            </w:r>
          </w:p>
          <w:p w:rsidR="00AB0BC0" w:rsidRPr="00AB0BC0" w:rsidRDefault="00AB0BC0" w:rsidP="00AB0BC0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L. N. Emembolu and </w:t>
            </w:r>
            <w:r w:rsidRPr="00AB0BC0">
              <w:rPr>
                <w:b/>
                <w:color w:val="000000"/>
                <w:sz w:val="18"/>
                <w:szCs w:val="18"/>
              </w:rPr>
              <w:t>P. K. Igbokwe</w:t>
            </w:r>
            <w:r w:rsidRPr="00AB0BC0">
              <w:rPr>
                <w:color w:val="000000"/>
                <w:sz w:val="18"/>
                <w:szCs w:val="18"/>
              </w:rPr>
              <w:t xml:space="preserve">, Inhibition Capability of </w:t>
            </w:r>
            <w:r w:rsidRPr="00AB0BC0">
              <w:rPr>
                <w:i/>
                <w:color w:val="000000"/>
                <w:sz w:val="18"/>
                <w:szCs w:val="18"/>
              </w:rPr>
              <w:t>Dennettia tripetala</w:t>
            </w:r>
            <w:r w:rsidRPr="00AB0BC0">
              <w:rPr>
                <w:color w:val="000000"/>
                <w:sz w:val="18"/>
                <w:szCs w:val="18"/>
              </w:rPr>
              <w:t xml:space="preserve"> Leaves on Carbon Steel in 4M HCL Solutions, Journal of Basic and Applied Research International, 23-35, 2020;</w:t>
            </w:r>
          </w:p>
          <w:p w:rsidR="00B407FD" w:rsidRPr="00AB0BC0" w:rsidRDefault="00B407FD" w:rsidP="00B407FD">
            <w:pPr>
              <w:pStyle w:val="NormalWeb"/>
              <w:spacing w:before="0" w:beforeAutospacing="0" w:after="0" w:afterAutospacing="0"/>
              <w:ind w:left="928"/>
              <w:jc w:val="both"/>
              <w:rPr>
                <w:color w:val="000000"/>
                <w:sz w:val="18"/>
                <w:szCs w:val="18"/>
              </w:rPr>
            </w:pPr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Onu Chijioke Elijaha, </w:t>
            </w:r>
            <w:r w:rsidRPr="00AB0BC0">
              <w:rPr>
                <w:b/>
                <w:color w:val="000000"/>
                <w:sz w:val="18"/>
                <w:szCs w:val="18"/>
              </w:rPr>
              <w:t>K. Igbokwe Philomena</w:t>
            </w:r>
            <w:r w:rsidRPr="00AB0BC0">
              <w:rPr>
                <w:color w:val="000000"/>
                <w:sz w:val="18"/>
                <w:szCs w:val="18"/>
              </w:rPr>
              <w:t xml:space="preserve">, T. Nwabanne Joseph , O. Nwajinka Charles, E. Ohale Paschal; Evaluation of optimization techniques in predicting optimum moisture content reduction in drying potato slices, Artificial Intelligence in Agriculture, Vol. 4, 39 – 47, 2020, </w:t>
            </w:r>
            <w:hyperlink r:id="rId6" w:history="1">
              <w:r w:rsidRPr="00AB0BC0">
                <w:rPr>
                  <w:rStyle w:val="Hyperlink"/>
                  <w:sz w:val="18"/>
                  <w:szCs w:val="18"/>
                </w:rPr>
                <w:t>http://www.keaipublishing.com/en/journals/artificialintelligence-in-agriculture/</w:t>
              </w:r>
            </w:hyperlink>
            <w:r w:rsidRPr="00AB0BC0">
              <w:rPr>
                <w:color w:val="000000"/>
                <w:sz w:val="18"/>
                <w:szCs w:val="18"/>
              </w:rPr>
              <w:t xml:space="preserve"> ;</w:t>
            </w:r>
          </w:p>
          <w:p w:rsidR="00B407FD" w:rsidRPr="00AB0BC0" w:rsidRDefault="00B407FD" w:rsidP="00B407FD">
            <w:pPr>
              <w:pStyle w:val="NormalWeb"/>
              <w:spacing w:before="0" w:beforeAutospacing="0" w:after="0" w:afterAutospacing="0"/>
              <w:ind w:left="928"/>
              <w:jc w:val="both"/>
              <w:rPr>
                <w:color w:val="000000"/>
                <w:sz w:val="18"/>
                <w:szCs w:val="18"/>
              </w:rPr>
            </w:pPr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 L. N. Emembolu and </w:t>
            </w:r>
            <w:r w:rsidRPr="00AB0BC0">
              <w:rPr>
                <w:b/>
                <w:color w:val="000000"/>
                <w:sz w:val="18"/>
                <w:szCs w:val="18"/>
              </w:rPr>
              <w:t>P. K. Igbokwe</w:t>
            </w:r>
            <w:r w:rsidRPr="00AB0BC0">
              <w:rPr>
                <w:color w:val="000000"/>
                <w:sz w:val="18"/>
                <w:szCs w:val="18"/>
              </w:rPr>
              <w:t xml:space="preserve"> and C. N. Onyenanu, Anticorrosion properties of Vitex doniana on Mild steel in HCl solution, Journal of Multidisciplinary Engineering Science Studies (JMESS) ISSN: 2458-925X Vol. 6 Issue 7, July – 2020, </w:t>
            </w:r>
            <w:hyperlink r:id="rId7" w:history="1">
              <w:r w:rsidRPr="00AB0BC0">
                <w:rPr>
                  <w:rStyle w:val="Hyperlink"/>
                  <w:sz w:val="18"/>
                  <w:szCs w:val="18"/>
                </w:rPr>
                <w:t>www.jmess.org</w:t>
              </w:r>
            </w:hyperlink>
            <w:r w:rsidRPr="00AB0BC0">
              <w:rPr>
                <w:color w:val="000000"/>
                <w:sz w:val="18"/>
                <w:szCs w:val="18"/>
              </w:rPr>
              <w:t>;</w:t>
            </w:r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after="240" w:afterAutospacing="0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Bartholomew Chukwudi Amadi, Philomena Kanwulia Igbokwe and Chijioke Elijah Onu, </w:t>
            </w:r>
            <w:r w:rsidRPr="00AB0BC0">
              <w:rPr>
                <w:color w:val="000000"/>
                <w:sz w:val="18"/>
                <w:szCs w:val="18"/>
                <w:lang w:val="en-GB"/>
              </w:rPr>
              <w:t xml:space="preserve">Enzymatic Hydrolysis of Blend of Lignicellulosic Materials for Reducing Sugar Production: Screening of Significant Process Factors, </w:t>
            </w:r>
            <w:r w:rsidRPr="00AB0BC0">
              <w:rPr>
                <w:bCs/>
                <w:color w:val="000000"/>
                <w:sz w:val="18"/>
                <w:szCs w:val="18"/>
                <w:lang w:val="en-GB"/>
              </w:rPr>
              <w:t>Asian Journal of Chemical Sciences</w:t>
            </w:r>
            <w:r w:rsidRPr="00AB0BC0">
              <w:rPr>
                <w:color w:val="000000"/>
                <w:sz w:val="18"/>
                <w:szCs w:val="18"/>
                <w:lang w:val="en-GB"/>
              </w:rPr>
              <w:t xml:space="preserve">,  Volume 8 [Issue 4], 2020, </w:t>
            </w:r>
            <w:hyperlink r:id="rId8" w:history="1">
              <w:r w:rsidRPr="00AB0BC0">
                <w:rPr>
                  <w:rStyle w:val="Hyperlink"/>
                  <w:sz w:val="18"/>
                  <w:szCs w:val="18"/>
                  <w:lang w:val="en-GB"/>
                </w:rPr>
                <w:t>https://journalbank.org/index.php/AJOCS/article/view/3313</w:t>
              </w:r>
            </w:hyperlink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beforeAutospacing="0" w:after="24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Nnabundo N. Musei, Chijioke E. Onu, Kingsley I. Ihuaku  and </w:t>
            </w:r>
            <w:r w:rsidRPr="00AB0BC0">
              <w:rPr>
                <w:b/>
                <w:color w:val="000000"/>
                <w:sz w:val="18"/>
                <w:szCs w:val="18"/>
              </w:rPr>
              <w:t>Igbokwe Philomena</w:t>
            </w:r>
            <w:r w:rsidRPr="00AB0BC0">
              <w:rPr>
                <w:color w:val="000000"/>
                <w:sz w:val="18"/>
                <w:szCs w:val="18"/>
              </w:rPr>
              <w:t xml:space="preserve">, Effects of Lithium Sulfate and Zinc Sulfate on the Cycle Life and Efficiency of Lead Acid Batteries, ACS Omega XXXX, XXX, XXX-XXX, </w:t>
            </w:r>
            <w:hyperlink r:id="rId9" w:history="1">
              <w:r w:rsidRPr="00AB0BC0">
                <w:rPr>
                  <w:rStyle w:val="Hyperlink"/>
                  <w:sz w:val="18"/>
                  <w:szCs w:val="18"/>
                </w:rPr>
                <w:t>http://dx.doi.org/10.1021/acsomega.0c05831pubs.acs.org/journal/acsodf</w:t>
              </w:r>
            </w:hyperlink>
            <w:r w:rsidRPr="00AB0BC0">
              <w:rPr>
                <w:color w:val="000000"/>
                <w:sz w:val="18"/>
                <w:szCs w:val="18"/>
              </w:rPr>
              <w:t>, 2021 ;</w:t>
            </w:r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beforeAutospacing="0" w:after="240" w:afterAutospacing="0"/>
              <w:jc w:val="both"/>
              <w:rPr>
                <w:color w:val="000000"/>
                <w:sz w:val="18"/>
                <w:szCs w:val="18"/>
              </w:rPr>
            </w:pPr>
            <w:r w:rsidRPr="00AB0BC0">
              <w:rPr>
                <w:color w:val="000000"/>
                <w:sz w:val="18"/>
                <w:szCs w:val="18"/>
              </w:rPr>
              <w:t xml:space="preserve">Tochukwu Kevin Dibia, </w:t>
            </w:r>
            <w:r w:rsidRPr="00AB0BC0">
              <w:rPr>
                <w:b/>
                <w:color w:val="000000"/>
                <w:sz w:val="18"/>
                <w:szCs w:val="18"/>
              </w:rPr>
              <w:t>Philomena Kanwulia Igbokwe</w:t>
            </w:r>
            <w:r w:rsidRPr="00AB0BC0">
              <w:rPr>
                <w:color w:val="000000"/>
                <w:sz w:val="18"/>
                <w:szCs w:val="18"/>
              </w:rPr>
              <w:t>, Christian Oluchukwu Asadu. Response Surface Methodology: An Effective Tool For The Optimization Of The Extraction Of Vitamin E From Palm Fatty Acid Distillate By Enzymatic Hydrolysis. </w:t>
            </w:r>
            <w:r w:rsidRPr="00AB0BC0">
              <w:rPr>
                <w:i/>
                <w:iCs/>
                <w:color w:val="000000"/>
                <w:sz w:val="18"/>
                <w:szCs w:val="18"/>
              </w:rPr>
              <w:t>Authorea.</w:t>
            </w:r>
            <w:r w:rsidRPr="00AB0BC0">
              <w:rPr>
                <w:color w:val="000000"/>
                <w:sz w:val="18"/>
                <w:szCs w:val="18"/>
              </w:rPr>
              <w:t> February 06, 2020;</w:t>
            </w:r>
          </w:p>
          <w:p w:rsidR="00B407FD" w:rsidRPr="00AB0BC0" w:rsidRDefault="00354DF1" w:rsidP="00B407FD">
            <w:pPr>
              <w:pStyle w:val="NormalWeb"/>
              <w:numPr>
                <w:ilvl w:val="0"/>
                <w:numId w:val="1"/>
              </w:numPr>
              <w:spacing w:before="0" w:after="0"/>
              <w:jc w:val="both"/>
              <w:rPr>
                <w:bCs/>
                <w:sz w:val="18"/>
                <w:szCs w:val="18"/>
                <w:lang w:val="en-GB"/>
              </w:rPr>
            </w:pPr>
            <w:hyperlink r:id="rId10" w:history="1">
              <w:r w:rsidR="00B407FD" w:rsidRPr="00AB0BC0">
                <w:rPr>
                  <w:rStyle w:val="Hyperlink"/>
                  <w:bCs/>
                  <w:color w:val="auto"/>
                  <w:sz w:val="18"/>
                  <w:szCs w:val="18"/>
                  <w:u w:val="none"/>
                  <w:lang w:val="en-GB"/>
                </w:rPr>
                <w:t>Nwobasi Veronica Nnenna,   </w:t>
              </w:r>
            </w:hyperlink>
            <w:hyperlink r:id="rId11" w:history="1">
              <w:r w:rsidR="00B407FD" w:rsidRPr="00AB0BC0">
                <w:rPr>
                  <w:rStyle w:val="Hyperlink"/>
                  <w:b/>
                  <w:bCs/>
                  <w:color w:val="auto"/>
                  <w:sz w:val="18"/>
                  <w:szCs w:val="18"/>
                  <w:u w:val="none"/>
                  <w:lang w:val="en-GB"/>
                </w:rPr>
                <w:t>K. Igbokwe Philomena</w:t>
              </w:r>
              <w:r w:rsidR="00B407FD" w:rsidRPr="00AB0BC0">
                <w:rPr>
                  <w:rStyle w:val="Hyperlink"/>
                  <w:bCs/>
                  <w:color w:val="auto"/>
                  <w:sz w:val="18"/>
                  <w:szCs w:val="18"/>
                  <w:u w:val="none"/>
                  <w:lang w:val="en-GB"/>
                </w:rPr>
                <w:t xml:space="preserve"> and </w:t>
              </w:r>
            </w:hyperlink>
            <w:hyperlink r:id="rId12" w:history="1">
              <w:r w:rsidR="00B407FD" w:rsidRPr="00AB0BC0">
                <w:rPr>
                  <w:rStyle w:val="Hyperlink"/>
                  <w:bCs/>
                  <w:color w:val="auto"/>
                  <w:sz w:val="18"/>
                  <w:szCs w:val="18"/>
                  <w:u w:val="none"/>
                  <w:lang w:val="en-GB"/>
                </w:rPr>
                <w:t>Onu Chijioke Elijah</w:t>
              </w:r>
            </w:hyperlink>
            <w:r w:rsidR="00B407FD" w:rsidRPr="00AB0BC0">
              <w:rPr>
                <w:sz w:val="18"/>
                <w:szCs w:val="18"/>
              </w:rPr>
              <w:t>,</w:t>
            </w:r>
            <w:r w:rsidR="00B407FD" w:rsidRPr="00AB0BC0">
              <w:rPr>
                <w:bCs/>
                <w:sz w:val="18"/>
                <w:szCs w:val="18"/>
                <w:lang w:val="en-GB"/>
              </w:rPr>
              <w:t xml:space="preserve"> </w:t>
            </w:r>
            <w:r w:rsidR="00B407FD" w:rsidRPr="00AB0BC0">
              <w:rPr>
                <w:bCs/>
                <w:color w:val="000000"/>
                <w:sz w:val="18"/>
                <w:szCs w:val="18"/>
                <w:lang w:val="en-GB"/>
              </w:rPr>
              <w:t>Removal of Methylene Blue Dye from Aqueous Solution Using Modified Ngbo Clay</w:t>
            </w:r>
            <w:r w:rsidR="00B407FD" w:rsidRPr="00AB0BC0">
              <w:rPr>
                <w:bCs/>
                <w:i/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  <w:r w:rsidR="00B407FD" w:rsidRPr="00AB0BC0">
              <w:rPr>
                <w:bCs/>
                <w:iCs/>
                <w:color w:val="000000"/>
                <w:sz w:val="18"/>
                <w:szCs w:val="18"/>
                <w:lang w:val="en-GB"/>
              </w:rPr>
              <w:t>Journal of Materials Science   Research and Reviews</w:t>
            </w:r>
            <w:r w:rsidR="00B407FD" w:rsidRPr="00AB0BC0">
              <w:rPr>
                <w:bCs/>
                <w:color w:val="000000"/>
                <w:sz w:val="18"/>
                <w:szCs w:val="18"/>
                <w:lang w:val="en-GB"/>
              </w:rPr>
              <w:t xml:space="preserve">, Vol. 5 No.2, pp. 33-46, </w:t>
            </w:r>
            <w:r w:rsidR="00B407FD" w:rsidRPr="00AB0BC0">
              <w:rPr>
                <w:color w:val="000000"/>
                <w:sz w:val="18"/>
                <w:szCs w:val="18"/>
                <w:lang w:val="en-GB"/>
              </w:rPr>
              <w:t>2020</w:t>
            </w:r>
            <w:r w:rsidR="00B407FD" w:rsidRPr="00AB0BC0">
              <w:rPr>
                <w:bCs/>
                <w:sz w:val="18"/>
                <w:szCs w:val="18"/>
                <w:lang w:val="en-GB"/>
              </w:rPr>
              <w:t>;</w:t>
            </w:r>
          </w:p>
          <w:p w:rsidR="00B407FD" w:rsidRPr="00AB0BC0" w:rsidRDefault="00B407FD" w:rsidP="00B407FD">
            <w:pPr>
              <w:pStyle w:val="NormalWeb"/>
              <w:numPr>
                <w:ilvl w:val="0"/>
                <w:numId w:val="1"/>
              </w:numPr>
              <w:spacing w:before="0" w:after="0"/>
              <w:jc w:val="both"/>
              <w:rPr>
                <w:bCs/>
                <w:sz w:val="18"/>
                <w:szCs w:val="18"/>
                <w:lang w:val="en-GB"/>
              </w:rPr>
            </w:pPr>
            <w:r w:rsidRPr="00AB0BC0">
              <w:rPr>
                <w:bCs/>
                <w:sz w:val="18"/>
                <w:szCs w:val="18"/>
                <w:lang w:val="en-GB"/>
              </w:rPr>
              <w:t xml:space="preserve"> </w:t>
            </w:r>
            <w:r w:rsidRPr="00AB0BC0">
              <w:rPr>
                <w:color w:val="000000"/>
                <w:sz w:val="18"/>
                <w:szCs w:val="18"/>
              </w:rPr>
              <w:t xml:space="preserve"> Kevin Tochukwu Dibia, </w:t>
            </w:r>
            <w:r w:rsidRPr="00AB0BC0">
              <w:rPr>
                <w:b/>
                <w:color w:val="000000"/>
                <w:sz w:val="18"/>
                <w:szCs w:val="18"/>
              </w:rPr>
              <w:t>Philomena Kanwulia Igbokwe</w:t>
            </w:r>
            <w:r w:rsidRPr="00AB0BC0">
              <w:rPr>
                <w:color w:val="000000"/>
                <w:sz w:val="18"/>
                <w:szCs w:val="18"/>
              </w:rPr>
              <w:t xml:space="preserve">, Godfrey Ifechukwu Ezemagu and Christian Oluchukwu Asadu, Exploration of the Quantitative Structure-Activity Relationships for Predicting Cyclooxygenase-2 Inhibition Bioactivity by Machine Learning Approaches, Results in Chemistry4(2022)100272, </w:t>
            </w:r>
            <w:hyperlink r:id="rId13" w:history="1">
              <w:r w:rsidRPr="00AB0BC0">
                <w:rPr>
                  <w:rStyle w:val="Hyperlink"/>
                  <w:sz w:val="18"/>
                  <w:szCs w:val="18"/>
                </w:rPr>
                <w:t>https://doi.org/10.1016/j.rechem.2021.100272</w:t>
              </w:r>
            </w:hyperlink>
            <w:r w:rsidRPr="00AB0BC0">
              <w:rPr>
                <w:color w:val="000000"/>
                <w:sz w:val="18"/>
                <w:szCs w:val="18"/>
              </w:rPr>
              <w:t>, available online December 23, 2021</w:t>
            </w:r>
          </w:p>
          <w:p w:rsidR="00B407FD" w:rsidRPr="00AB0BC0" w:rsidRDefault="00B407FD" w:rsidP="0067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7FD" w:rsidRDefault="00B407FD" w:rsidP="00673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pk.igbokwe@unizik.edu.ng</w:t>
            </w:r>
          </w:p>
        </w:tc>
      </w:tr>
    </w:tbl>
    <w:p w:rsidR="005F7CAD" w:rsidRDefault="005F7CAD"/>
    <w:sectPr w:rsidR="005F7CAD" w:rsidSect="005F7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ld">
    <w:altName w:val="Times New Roman"/>
    <w:charset w:val="00"/>
    <w:family w:val="roman"/>
    <w:notTrueType/>
    <w:pitch w:val="default"/>
  </w:font>
  <w:font w:name="THSarabunPSK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940E7834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FD"/>
    <w:rsid w:val="00354DF1"/>
    <w:rsid w:val="005F7CAD"/>
    <w:rsid w:val="00AB0BC0"/>
    <w:rsid w:val="00B4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DD1F98-425A-9B42-AA6C-B71EB734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7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407FD"/>
    <w:rPr>
      <w:rFonts w:ascii="Times New Roman" w:eastAsia="Times New Roman" w:hAnsi="Times New Roman"/>
      <w:color w:val="0000FF"/>
      <w:u w:val="single"/>
    </w:rPr>
  </w:style>
  <w:style w:type="paragraph" w:styleId="NormalWeb">
    <w:name w:val="Normal (Web)"/>
    <w:basedOn w:val="Normal"/>
    <w:rsid w:val="00B4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bank.org/index.php/AJOCS/article/view/3313" TargetMode="External" /><Relationship Id="rId13" Type="http://schemas.openxmlformats.org/officeDocument/2006/relationships/hyperlink" Target="https://doi.org/10.1016/j.rechem.2021.100272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jmess.org" TargetMode="External" /><Relationship Id="rId12" Type="http://schemas.openxmlformats.org/officeDocument/2006/relationships/hyperlink" Target="https://journaljmsrr.com/index.php/JMSRR/article/view/30132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keaipublishing.com/en/journals/artificialintelligence-in-agriculture/" TargetMode="External" /><Relationship Id="rId11" Type="http://schemas.openxmlformats.org/officeDocument/2006/relationships/hyperlink" Target="https://journaljmsrr.com/index.php/JMSRR/article/view/30132" TargetMode="External" /><Relationship Id="rId5" Type="http://schemas.openxmlformats.org/officeDocument/2006/relationships/hyperlink" Target="http://www.tpcj.org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journaljmsrr.com/index.php/JMSRR/article/view/30132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dx.doi.org/10.1021/acsomega.0c05831pubs.acs.org/journal/acsodf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SPGS2</dc:creator>
  <cp:lastModifiedBy>2348074310143</cp:lastModifiedBy>
  <cp:revision>2</cp:revision>
  <dcterms:created xsi:type="dcterms:W3CDTF">2022-01-28T11:59:00Z</dcterms:created>
  <dcterms:modified xsi:type="dcterms:W3CDTF">2022-01-28T11:59:00Z</dcterms:modified>
</cp:coreProperties>
</file>